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BE6D5" w14:textId="77777777" w:rsidR="008A05D0" w:rsidRPr="00C432EC" w:rsidRDefault="008A05D0" w:rsidP="006162C0">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Accounting </w:t>
      </w:r>
      <w:r w:rsidRPr="00C432EC">
        <w:rPr>
          <w:rFonts w:ascii="Times New Roman" w:hAnsi="Times New Roman" w:cs="Times New Roman"/>
          <w:b/>
          <w:bCs/>
          <w:sz w:val="24"/>
          <w:szCs w:val="24"/>
        </w:rPr>
        <w:t>Case Study</w:t>
      </w:r>
    </w:p>
    <w:p w14:paraId="68535E74" w14:textId="77777777" w:rsidR="008A05D0" w:rsidRPr="001A61A6" w:rsidRDefault="008A05D0" w:rsidP="006162C0">
      <w:pPr>
        <w:pStyle w:val="ListParagraph"/>
        <w:numPr>
          <w:ilvl w:val="0"/>
          <w:numId w:val="1"/>
        </w:numPr>
        <w:spacing w:line="240" w:lineRule="auto"/>
        <w:jc w:val="both"/>
        <w:rPr>
          <w:rFonts w:ascii="Times New Roman" w:hAnsi="Times New Roman" w:cs="Times New Roman"/>
          <w:sz w:val="24"/>
          <w:szCs w:val="24"/>
        </w:rPr>
      </w:pPr>
      <w:r w:rsidRPr="001A61A6">
        <w:rPr>
          <w:rFonts w:ascii="Times New Roman" w:hAnsi="Times New Roman" w:cs="Times New Roman"/>
          <w:sz w:val="24"/>
          <w:szCs w:val="24"/>
        </w:rPr>
        <w:t xml:space="preserve">How should Sable classify the lease in its accounting records? </w:t>
      </w:r>
    </w:p>
    <w:p w14:paraId="615B89B1" w14:textId="77777777" w:rsidR="008A05D0" w:rsidRDefault="008A05D0" w:rsidP="006162C0">
      <w:pPr>
        <w:pStyle w:val="ListParagraph"/>
        <w:spacing w:line="240" w:lineRule="auto"/>
        <w:ind w:left="390"/>
        <w:jc w:val="both"/>
        <w:rPr>
          <w:rFonts w:ascii="Times New Roman" w:hAnsi="Times New Roman" w:cs="Times New Roman"/>
          <w:b/>
          <w:bCs/>
          <w:sz w:val="24"/>
          <w:szCs w:val="24"/>
        </w:rPr>
      </w:pPr>
      <w:r>
        <w:rPr>
          <w:rFonts w:ascii="Times New Roman" w:hAnsi="Times New Roman" w:cs="Times New Roman"/>
          <w:b/>
          <w:bCs/>
          <w:sz w:val="24"/>
          <w:szCs w:val="24"/>
        </w:rPr>
        <w:t xml:space="preserve">SSAP 21 </w:t>
      </w:r>
    </w:p>
    <w:p w14:paraId="0FBE2751" w14:textId="77777777" w:rsidR="008A05D0" w:rsidRPr="001A61A6" w:rsidRDefault="008A05D0" w:rsidP="006162C0">
      <w:pPr>
        <w:pStyle w:val="ListParagraph"/>
        <w:spacing w:line="240" w:lineRule="auto"/>
        <w:ind w:left="390"/>
        <w:jc w:val="both"/>
        <w:rPr>
          <w:rFonts w:ascii="Times New Roman" w:hAnsi="Times New Roman" w:cs="Times New Roman"/>
          <w:b/>
          <w:bCs/>
          <w:sz w:val="24"/>
          <w:szCs w:val="24"/>
        </w:rPr>
      </w:pPr>
      <w:r w:rsidRPr="001A61A6">
        <w:rPr>
          <w:rFonts w:ascii="Times New Roman" w:hAnsi="Times New Roman" w:cs="Times New Roman"/>
          <w:b/>
          <w:bCs/>
          <w:sz w:val="24"/>
          <w:szCs w:val="24"/>
        </w:rPr>
        <w:t>Facts</w:t>
      </w:r>
    </w:p>
    <w:p w14:paraId="0CF70401" w14:textId="77777777" w:rsidR="008A05D0" w:rsidRPr="001A61A6" w:rsidRDefault="008A05D0" w:rsidP="006162C0">
      <w:pPr>
        <w:pStyle w:val="ListParagraph"/>
        <w:spacing w:line="240" w:lineRule="auto"/>
        <w:ind w:left="390"/>
        <w:jc w:val="both"/>
        <w:rPr>
          <w:rFonts w:ascii="Times New Roman" w:hAnsi="Times New Roman" w:cs="Times New Roman"/>
          <w:sz w:val="24"/>
          <w:szCs w:val="24"/>
        </w:rPr>
      </w:pPr>
      <w:r w:rsidRPr="001A61A6">
        <w:rPr>
          <w:rFonts w:ascii="Times New Roman" w:hAnsi="Times New Roman" w:cs="Times New Roman"/>
          <w:sz w:val="24"/>
          <w:szCs w:val="24"/>
        </w:rPr>
        <w:t xml:space="preserve">Section 20 still decides the characterization of a lease similarly as SSAP 21 Accounting for Leases and Hire Purchase Contracts. </w:t>
      </w:r>
      <w:r w:rsidRPr="007F3DFA">
        <w:rPr>
          <w:rFonts w:ascii="Times New Roman" w:hAnsi="Times New Roman" w:cs="Times New Roman"/>
          <w:sz w:val="24"/>
          <w:szCs w:val="24"/>
          <w:highlight w:val="yellow"/>
        </w:rPr>
        <w:t>The general standard in the assurance of whether a lease is financing or working is considered in light of the substance of the game plan – at the end of the day taking a gander at who bears the dangers and prizes of responsibility for resource subjected to the lease.</w:t>
      </w:r>
      <w:r w:rsidRPr="001A61A6">
        <w:rPr>
          <w:rFonts w:ascii="Times New Roman" w:hAnsi="Times New Roman" w:cs="Times New Roman"/>
          <w:sz w:val="24"/>
          <w:szCs w:val="24"/>
        </w:rPr>
        <w:t xml:space="preserve"> </w:t>
      </w:r>
    </w:p>
    <w:p w14:paraId="7B6148F7" w14:textId="77777777" w:rsidR="008A05D0" w:rsidRPr="001A61A6" w:rsidRDefault="008A05D0" w:rsidP="006162C0">
      <w:pPr>
        <w:pStyle w:val="ListParagraph"/>
        <w:spacing w:line="240" w:lineRule="auto"/>
        <w:ind w:left="390"/>
        <w:jc w:val="both"/>
        <w:rPr>
          <w:rFonts w:ascii="Times New Roman" w:hAnsi="Times New Roman" w:cs="Times New Roman"/>
          <w:sz w:val="24"/>
          <w:szCs w:val="24"/>
        </w:rPr>
      </w:pPr>
    </w:p>
    <w:p w14:paraId="5E392B2F" w14:textId="77777777" w:rsidR="008A05D0" w:rsidRPr="001A61A6" w:rsidRDefault="008A05D0" w:rsidP="006162C0">
      <w:pPr>
        <w:pStyle w:val="ListParagraph"/>
        <w:spacing w:line="240" w:lineRule="auto"/>
        <w:ind w:left="390"/>
        <w:jc w:val="both"/>
        <w:rPr>
          <w:rFonts w:ascii="Times New Roman" w:hAnsi="Times New Roman" w:cs="Times New Roman"/>
          <w:sz w:val="24"/>
          <w:szCs w:val="24"/>
        </w:rPr>
      </w:pPr>
      <w:r w:rsidRPr="004066C5">
        <w:rPr>
          <w:rFonts w:ascii="Times New Roman" w:hAnsi="Times New Roman" w:cs="Times New Roman"/>
          <w:sz w:val="24"/>
          <w:szCs w:val="24"/>
          <w:highlight w:val="yellow"/>
        </w:rPr>
        <w:t>Whenever, significantly, every one of the dangers and prizes coincidental to responsibility for resource are exchanged from the lessor to the tenant, this will offer ascent to a back lease. The benefit will show up on the organization's monetary record (explanation of budgetary position) together with a comparing money lease loan boss. Where the dangers and prizes of proprietorship stay with the lessor, the lease is delegated a working lease and rentals are charged to benefit or misfortune as caused. This is an indistinguishable accounting treatment from we presently observe in SSAP (21) (and the FRSSE (successful April 2008)).</w:t>
      </w:r>
      <w:r w:rsidRPr="001A61A6">
        <w:rPr>
          <w:rFonts w:ascii="Times New Roman" w:hAnsi="Times New Roman" w:cs="Times New Roman"/>
          <w:sz w:val="24"/>
          <w:szCs w:val="24"/>
        </w:rPr>
        <w:t xml:space="preserve"> </w:t>
      </w:r>
    </w:p>
    <w:p w14:paraId="523A82DD" w14:textId="77777777" w:rsidR="008A05D0" w:rsidRPr="001A61A6" w:rsidRDefault="008A05D0" w:rsidP="006162C0">
      <w:pPr>
        <w:pStyle w:val="ListParagraph"/>
        <w:spacing w:line="240" w:lineRule="auto"/>
        <w:ind w:left="390"/>
        <w:jc w:val="both"/>
        <w:rPr>
          <w:rFonts w:ascii="Times New Roman" w:hAnsi="Times New Roman" w:cs="Times New Roman"/>
          <w:sz w:val="24"/>
          <w:szCs w:val="24"/>
        </w:rPr>
      </w:pPr>
    </w:p>
    <w:p w14:paraId="29BB3B7E" w14:textId="77777777" w:rsidR="008A05D0" w:rsidRPr="005968E9" w:rsidRDefault="008A05D0" w:rsidP="006162C0">
      <w:pPr>
        <w:pStyle w:val="ListParagraph"/>
        <w:spacing w:line="240" w:lineRule="auto"/>
        <w:ind w:left="390"/>
        <w:jc w:val="both"/>
        <w:rPr>
          <w:rFonts w:ascii="Times New Roman" w:hAnsi="Times New Roman" w:cs="Times New Roman"/>
          <w:sz w:val="24"/>
          <w:szCs w:val="24"/>
          <w:highlight w:val="yellow"/>
        </w:rPr>
      </w:pPr>
      <w:r w:rsidRPr="005968E9">
        <w:rPr>
          <w:rFonts w:ascii="Times New Roman" w:hAnsi="Times New Roman" w:cs="Times New Roman"/>
          <w:sz w:val="24"/>
          <w:szCs w:val="24"/>
          <w:highlight w:val="yellow"/>
        </w:rPr>
        <w:t xml:space="preserve">The Guidance Notes to SSAP 21 contain a 90% test whereby should the present estimation of the base lease installments that the renter is required to pay liken to at least 90% of the reasonable estimation of the leased resource then this will offer ascent to a back lease. In any case, Section 20 does not contain any 90% benchmark that we as of now observe in SSAP 21; rather it offers five cases of circumstances that exclusively, or in blend, would regularly prompt a lease being delegated a fund lease, and a further three markers of circumstances that separately or in mix could likewise prompt a lease being named a back lease. The initial five are as per the following: </w:t>
      </w:r>
    </w:p>
    <w:p w14:paraId="0EE61722" w14:textId="77777777" w:rsidR="008A05D0" w:rsidRPr="005968E9" w:rsidRDefault="008A05D0" w:rsidP="006162C0">
      <w:pPr>
        <w:pStyle w:val="ListParagraph"/>
        <w:spacing w:line="240" w:lineRule="auto"/>
        <w:ind w:left="390"/>
        <w:jc w:val="both"/>
        <w:rPr>
          <w:rFonts w:ascii="Times New Roman" w:hAnsi="Times New Roman" w:cs="Times New Roman"/>
          <w:sz w:val="24"/>
          <w:szCs w:val="24"/>
          <w:highlight w:val="yellow"/>
        </w:rPr>
      </w:pPr>
    </w:p>
    <w:p w14:paraId="2C123C55" w14:textId="77777777" w:rsidR="008A05D0" w:rsidRPr="001A61A6" w:rsidRDefault="008A05D0" w:rsidP="006162C0">
      <w:pPr>
        <w:pStyle w:val="ListParagraph"/>
        <w:spacing w:line="240" w:lineRule="auto"/>
        <w:ind w:left="390"/>
        <w:jc w:val="both"/>
        <w:rPr>
          <w:rFonts w:ascii="Times New Roman" w:hAnsi="Times New Roman" w:cs="Times New Roman"/>
          <w:sz w:val="24"/>
          <w:szCs w:val="24"/>
        </w:rPr>
      </w:pPr>
      <w:r w:rsidRPr="005968E9">
        <w:rPr>
          <w:rFonts w:ascii="Times New Roman" w:hAnsi="Times New Roman" w:cs="Times New Roman"/>
          <w:sz w:val="24"/>
          <w:szCs w:val="24"/>
          <w:highlight w:val="yellow"/>
        </w:rPr>
        <w:t>a) The lease exchanges responsibility for resource for the renter before the finish of the lease term;</w:t>
      </w:r>
      <w:r w:rsidRPr="001A61A6">
        <w:rPr>
          <w:rFonts w:ascii="Times New Roman" w:hAnsi="Times New Roman" w:cs="Times New Roman"/>
          <w:sz w:val="24"/>
          <w:szCs w:val="24"/>
        </w:rPr>
        <w:t xml:space="preserve"> </w:t>
      </w:r>
    </w:p>
    <w:p w14:paraId="52A15F92" w14:textId="77777777" w:rsidR="008A05D0" w:rsidRPr="001A61A6" w:rsidRDefault="008A05D0" w:rsidP="006162C0">
      <w:pPr>
        <w:pStyle w:val="ListParagraph"/>
        <w:spacing w:line="240" w:lineRule="auto"/>
        <w:ind w:left="390"/>
        <w:jc w:val="both"/>
        <w:rPr>
          <w:rFonts w:ascii="Times New Roman" w:hAnsi="Times New Roman" w:cs="Times New Roman"/>
          <w:sz w:val="24"/>
          <w:szCs w:val="24"/>
        </w:rPr>
      </w:pPr>
    </w:p>
    <w:p w14:paraId="13DC43F3" w14:textId="77777777" w:rsidR="008A05D0" w:rsidRPr="001A61A6" w:rsidRDefault="008A05D0" w:rsidP="006162C0">
      <w:pPr>
        <w:pStyle w:val="ListParagraph"/>
        <w:spacing w:line="240" w:lineRule="auto"/>
        <w:ind w:left="390"/>
        <w:jc w:val="both"/>
        <w:rPr>
          <w:rFonts w:ascii="Times New Roman" w:hAnsi="Times New Roman" w:cs="Times New Roman"/>
          <w:sz w:val="24"/>
          <w:szCs w:val="24"/>
        </w:rPr>
      </w:pPr>
      <w:r>
        <w:rPr>
          <w:rFonts w:ascii="Times New Roman" w:hAnsi="Times New Roman" w:cs="Times New Roman"/>
          <w:sz w:val="24"/>
          <w:szCs w:val="24"/>
        </w:rPr>
        <w:t xml:space="preserve">b) </w:t>
      </w:r>
      <w:r w:rsidRPr="001A61A6">
        <w:rPr>
          <w:rFonts w:ascii="Times New Roman" w:hAnsi="Times New Roman" w:cs="Times New Roman"/>
          <w:sz w:val="24"/>
          <w:szCs w:val="24"/>
        </w:rPr>
        <w:t xml:space="preserve">The renter has the choice to buy the benefit at a value that is relied upon to be adequately lower than the reasonable incentive at the date the choice winds up exercisable for it to be sensibly sure, at the origin of the lease, that the alternative will be worked out; </w:t>
      </w:r>
    </w:p>
    <w:p w14:paraId="042787F0" w14:textId="77777777" w:rsidR="008A05D0" w:rsidRPr="001A61A6" w:rsidRDefault="008A05D0" w:rsidP="006162C0">
      <w:pPr>
        <w:pStyle w:val="ListParagraph"/>
        <w:spacing w:line="240" w:lineRule="auto"/>
        <w:ind w:left="390"/>
        <w:jc w:val="both"/>
        <w:rPr>
          <w:rFonts w:ascii="Times New Roman" w:hAnsi="Times New Roman" w:cs="Times New Roman"/>
          <w:sz w:val="24"/>
          <w:szCs w:val="24"/>
        </w:rPr>
      </w:pPr>
    </w:p>
    <w:p w14:paraId="7B96C0AD" w14:textId="77777777" w:rsidR="008A05D0" w:rsidRPr="001A61A6" w:rsidRDefault="008A05D0" w:rsidP="006162C0">
      <w:pPr>
        <w:pStyle w:val="ListParagraph"/>
        <w:spacing w:line="240" w:lineRule="auto"/>
        <w:ind w:left="390"/>
        <w:jc w:val="both"/>
        <w:rPr>
          <w:rFonts w:ascii="Times New Roman" w:hAnsi="Times New Roman" w:cs="Times New Roman"/>
          <w:sz w:val="24"/>
          <w:szCs w:val="24"/>
        </w:rPr>
      </w:pPr>
      <w:r>
        <w:rPr>
          <w:rFonts w:ascii="Times New Roman" w:hAnsi="Times New Roman" w:cs="Times New Roman"/>
          <w:sz w:val="24"/>
          <w:szCs w:val="24"/>
        </w:rPr>
        <w:t xml:space="preserve">c) </w:t>
      </w:r>
      <w:r w:rsidRPr="001A61A6">
        <w:rPr>
          <w:rFonts w:ascii="Times New Roman" w:hAnsi="Times New Roman" w:cs="Times New Roman"/>
          <w:sz w:val="24"/>
          <w:szCs w:val="24"/>
        </w:rPr>
        <w:t xml:space="preserve">The lease term is for the real piece of the monetary existence of the benefit regardless of </w:t>
      </w:r>
      <w:r w:rsidRPr="00535BB8">
        <w:rPr>
          <w:rFonts w:ascii="Times New Roman" w:hAnsi="Times New Roman" w:cs="Times New Roman"/>
          <w:sz w:val="24"/>
          <w:szCs w:val="24"/>
          <w:highlight w:val="yellow"/>
        </w:rPr>
        <w:t>whether title isn't exchanged</w:t>
      </w:r>
      <w:r w:rsidRPr="001A61A6">
        <w:rPr>
          <w:rFonts w:ascii="Times New Roman" w:hAnsi="Times New Roman" w:cs="Times New Roman"/>
          <w:sz w:val="24"/>
          <w:szCs w:val="24"/>
        </w:rPr>
        <w:t xml:space="preserve">; </w:t>
      </w:r>
    </w:p>
    <w:p w14:paraId="616A996B" w14:textId="77777777" w:rsidR="008A05D0" w:rsidRPr="001A61A6" w:rsidRDefault="008A05D0" w:rsidP="006162C0">
      <w:pPr>
        <w:pStyle w:val="ListParagraph"/>
        <w:spacing w:line="240" w:lineRule="auto"/>
        <w:ind w:left="390"/>
        <w:jc w:val="both"/>
        <w:rPr>
          <w:rFonts w:ascii="Times New Roman" w:hAnsi="Times New Roman" w:cs="Times New Roman"/>
          <w:sz w:val="24"/>
          <w:szCs w:val="24"/>
        </w:rPr>
      </w:pPr>
    </w:p>
    <w:p w14:paraId="518C7F5A" w14:textId="77777777" w:rsidR="008A05D0" w:rsidRPr="001A61A6" w:rsidRDefault="008A05D0" w:rsidP="006162C0">
      <w:pPr>
        <w:pStyle w:val="ListParagraph"/>
        <w:spacing w:line="240" w:lineRule="auto"/>
        <w:ind w:left="390"/>
        <w:jc w:val="both"/>
        <w:rPr>
          <w:rFonts w:ascii="Times New Roman" w:hAnsi="Times New Roman" w:cs="Times New Roman"/>
          <w:sz w:val="24"/>
          <w:szCs w:val="24"/>
        </w:rPr>
      </w:pPr>
      <w:r>
        <w:rPr>
          <w:rFonts w:ascii="Times New Roman" w:hAnsi="Times New Roman" w:cs="Times New Roman"/>
          <w:sz w:val="24"/>
          <w:szCs w:val="24"/>
        </w:rPr>
        <w:t xml:space="preserve">d) </w:t>
      </w:r>
      <w:r w:rsidRPr="001A61A6">
        <w:rPr>
          <w:rFonts w:ascii="Times New Roman" w:hAnsi="Times New Roman" w:cs="Times New Roman"/>
          <w:sz w:val="24"/>
          <w:szCs w:val="24"/>
        </w:rPr>
        <w:t xml:space="preserve">At the beginning of the lease the present estimation of the base lease installments </w:t>
      </w:r>
      <w:r w:rsidRPr="00535BB8">
        <w:rPr>
          <w:rFonts w:ascii="Times New Roman" w:hAnsi="Times New Roman" w:cs="Times New Roman"/>
          <w:sz w:val="24"/>
          <w:szCs w:val="24"/>
          <w:highlight w:val="yellow"/>
        </w:rPr>
        <w:t>adds up to in any event generously the majority of the reasonable estimation of the leased resource; and</w:t>
      </w:r>
      <w:r w:rsidRPr="001A61A6">
        <w:rPr>
          <w:rFonts w:ascii="Times New Roman" w:hAnsi="Times New Roman" w:cs="Times New Roman"/>
          <w:sz w:val="24"/>
          <w:szCs w:val="24"/>
        </w:rPr>
        <w:t xml:space="preserve"> </w:t>
      </w:r>
    </w:p>
    <w:p w14:paraId="15FE859A" w14:textId="77777777" w:rsidR="008A05D0" w:rsidRPr="001A61A6" w:rsidRDefault="008A05D0" w:rsidP="006162C0">
      <w:pPr>
        <w:pStyle w:val="ListParagraph"/>
        <w:spacing w:line="240" w:lineRule="auto"/>
        <w:ind w:left="390"/>
        <w:jc w:val="both"/>
        <w:rPr>
          <w:rFonts w:ascii="Times New Roman" w:hAnsi="Times New Roman" w:cs="Times New Roman"/>
          <w:sz w:val="24"/>
          <w:szCs w:val="24"/>
        </w:rPr>
      </w:pPr>
    </w:p>
    <w:p w14:paraId="6058199E" w14:textId="77777777" w:rsidR="008A05D0" w:rsidRPr="001A61A6" w:rsidRDefault="008A05D0" w:rsidP="006162C0">
      <w:pPr>
        <w:pStyle w:val="ListParagraph"/>
        <w:spacing w:line="240" w:lineRule="auto"/>
        <w:ind w:left="390"/>
        <w:jc w:val="both"/>
        <w:rPr>
          <w:rFonts w:ascii="Times New Roman" w:hAnsi="Times New Roman" w:cs="Times New Roman"/>
          <w:sz w:val="24"/>
          <w:szCs w:val="24"/>
        </w:rPr>
      </w:pPr>
      <w:r>
        <w:rPr>
          <w:rFonts w:ascii="Times New Roman" w:hAnsi="Times New Roman" w:cs="Times New Roman"/>
          <w:sz w:val="24"/>
          <w:szCs w:val="24"/>
        </w:rPr>
        <w:t>e</w:t>
      </w:r>
      <w:r w:rsidRPr="00535BB8">
        <w:rPr>
          <w:rFonts w:ascii="Times New Roman" w:hAnsi="Times New Roman" w:cs="Times New Roman"/>
          <w:sz w:val="24"/>
          <w:szCs w:val="24"/>
          <w:highlight w:val="yellow"/>
        </w:rPr>
        <w:t>) The leased resources are of such a particular nature, to the point that lone the resident can utilize them without significant adjustments.</w:t>
      </w:r>
      <w:r w:rsidRPr="001A61A6">
        <w:rPr>
          <w:rFonts w:ascii="Times New Roman" w:hAnsi="Times New Roman" w:cs="Times New Roman"/>
          <w:sz w:val="24"/>
          <w:szCs w:val="24"/>
        </w:rPr>
        <w:t xml:space="preserve"> </w:t>
      </w:r>
    </w:p>
    <w:p w14:paraId="2EDBB6D7" w14:textId="77777777" w:rsidR="008A05D0" w:rsidRPr="001A61A6" w:rsidRDefault="008A05D0" w:rsidP="006162C0">
      <w:pPr>
        <w:pStyle w:val="ListParagraph"/>
        <w:spacing w:line="240" w:lineRule="auto"/>
        <w:ind w:left="390"/>
        <w:jc w:val="both"/>
        <w:rPr>
          <w:rFonts w:ascii="Times New Roman" w:hAnsi="Times New Roman" w:cs="Times New Roman"/>
          <w:sz w:val="24"/>
          <w:szCs w:val="24"/>
        </w:rPr>
      </w:pPr>
    </w:p>
    <w:p w14:paraId="3E0213EC" w14:textId="77777777" w:rsidR="008A05D0" w:rsidRPr="001A61A6" w:rsidRDefault="008A05D0" w:rsidP="006162C0">
      <w:pPr>
        <w:pStyle w:val="ListParagraph"/>
        <w:spacing w:line="240" w:lineRule="auto"/>
        <w:ind w:left="390"/>
        <w:jc w:val="both"/>
        <w:rPr>
          <w:rFonts w:ascii="Times New Roman" w:hAnsi="Times New Roman" w:cs="Times New Roman"/>
          <w:sz w:val="24"/>
          <w:szCs w:val="24"/>
        </w:rPr>
      </w:pPr>
      <w:r w:rsidRPr="00535BB8">
        <w:rPr>
          <w:rFonts w:ascii="Times New Roman" w:hAnsi="Times New Roman" w:cs="Times New Roman"/>
          <w:sz w:val="24"/>
          <w:szCs w:val="24"/>
          <w:highlight w:val="yellow"/>
        </w:rPr>
        <w:t xml:space="preserve">You may take note of that the fourth visual cue above alludes to the term 'considerably all'. This is the term that has basically supplanted the 90% test contained in SSAP 21, henceforth </w:t>
      </w:r>
      <w:r w:rsidRPr="00535BB8">
        <w:rPr>
          <w:rFonts w:ascii="Times New Roman" w:hAnsi="Times New Roman" w:cs="Times New Roman"/>
          <w:sz w:val="24"/>
          <w:szCs w:val="24"/>
          <w:highlight w:val="yellow"/>
        </w:rPr>
        <w:lastRenderedPageBreak/>
        <w:t>greater judgment will be required with respect to the bookkeeper. The three extra markers of circumstances that could likewise prompt arrangement of a lease as a back lease are as per the following:</w:t>
      </w:r>
      <w:r w:rsidRPr="001A61A6">
        <w:rPr>
          <w:rFonts w:ascii="Times New Roman" w:hAnsi="Times New Roman" w:cs="Times New Roman"/>
          <w:sz w:val="24"/>
          <w:szCs w:val="24"/>
        </w:rPr>
        <w:t xml:space="preserve"> </w:t>
      </w:r>
    </w:p>
    <w:p w14:paraId="70C318F3" w14:textId="77777777" w:rsidR="008A05D0" w:rsidRPr="001A61A6" w:rsidRDefault="008A05D0" w:rsidP="006162C0">
      <w:pPr>
        <w:pStyle w:val="ListParagraph"/>
        <w:spacing w:line="240" w:lineRule="auto"/>
        <w:ind w:left="390"/>
        <w:jc w:val="both"/>
        <w:rPr>
          <w:rFonts w:ascii="Times New Roman" w:hAnsi="Times New Roman" w:cs="Times New Roman"/>
          <w:sz w:val="24"/>
          <w:szCs w:val="24"/>
        </w:rPr>
      </w:pPr>
    </w:p>
    <w:p w14:paraId="07A128C7" w14:textId="77777777" w:rsidR="008A05D0" w:rsidRPr="001A61A6" w:rsidRDefault="008A05D0" w:rsidP="006162C0">
      <w:pPr>
        <w:pStyle w:val="ListParagraph"/>
        <w:spacing w:line="240" w:lineRule="auto"/>
        <w:ind w:left="390"/>
        <w:jc w:val="both"/>
        <w:rPr>
          <w:rFonts w:ascii="Times New Roman" w:hAnsi="Times New Roman" w:cs="Times New Roman"/>
          <w:sz w:val="24"/>
          <w:szCs w:val="24"/>
        </w:rPr>
      </w:pPr>
      <w:r w:rsidRPr="00535BB8">
        <w:rPr>
          <w:rFonts w:ascii="Times New Roman" w:hAnsi="Times New Roman" w:cs="Times New Roman"/>
          <w:sz w:val="24"/>
          <w:szCs w:val="24"/>
          <w:highlight w:val="yellow"/>
        </w:rPr>
        <w:t xml:space="preserve">In the event that the resident can drop the lease, the lessor's misfortunes related with the cancelation are borne by the renter; Increases or misfortunes from the vacillation in the lingering estimation of the leased resource collect to the resident (eg as a lease refund </w:t>
      </w:r>
      <w:r w:rsidR="005015D8" w:rsidRPr="00535BB8">
        <w:rPr>
          <w:rFonts w:ascii="Times New Roman" w:hAnsi="Times New Roman" w:cs="Times New Roman"/>
          <w:sz w:val="24"/>
          <w:szCs w:val="24"/>
          <w:highlight w:val="yellow"/>
        </w:rPr>
        <w:t>equaling</w:t>
      </w:r>
      <w:r w:rsidRPr="00535BB8">
        <w:rPr>
          <w:rFonts w:ascii="Times New Roman" w:hAnsi="Times New Roman" w:cs="Times New Roman"/>
          <w:sz w:val="24"/>
          <w:szCs w:val="24"/>
          <w:highlight w:val="yellow"/>
        </w:rPr>
        <w:t xml:space="preserve"> the vast majority of the business continues toward the finish of the lease); and The resident can proceed with the lease for an auxiliary period at a lease that is considerably lower than showcase lease</w:t>
      </w:r>
      <w:r w:rsidRPr="001A61A6">
        <w:rPr>
          <w:rFonts w:ascii="Times New Roman" w:hAnsi="Times New Roman" w:cs="Times New Roman"/>
          <w:sz w:val="24"/>
          <w:szCs w:val="24"/>
        </w:rPr>
        <w:t xml:space="preserve">. </w:t>
      </w:r>
    </w:p>
    <w:p w14:paraId="4CA60F91" w14:textId="77777777" w:rsidR="008A05D0" w:rsidRPr="001A61A6" w:rsidRDefault="008A05D0" w:rsidP="006162C0">
      <w:pPr>
        <w:pStyle w:val="ListParagraph"/>
        <w:spacing w:line="240" w:lineRule="auto"/>
        <w:ind w:left="390"/>
        <w:jc w:val="both"/>
        <w:rPr>
          <w:rFonts w:ascii="Times New Roman" w:hAnsi="Times New Roman" w:cs="Times New Roman"/>
          <w:sz w:val="24"/>
          <w:szCs w:val="24"/>
        </w:rPr>
      </w:pPr>
    </w:p>
    <w:p w14:paraId="19B00D23" w14:textId="77777777" w:rsidR="008A05D0" w:rsidRPr="001A61A6" w:rsidRDefault="008A05D0" w:rsidP="006162C0">
      <w:pPr>
        <w:pStyle w:val="ListParagraph"/>
        <w:spacing w:line="240" w:lineRule="auto"/>
        <w:ind w:left="390"/>
        <w:jc w:val="both"/>
        <w:rPr>
          <w:rFonts w:ascii="Times New Roman" w:hAnsi="Times New Roman" w:cs="Times New Roman"/>
          <w:b/>
          <w:bCs/>
          <w:sz w:val="24"/>
          <w:szCs w:val="24"/>
        </w:rPr>
      </w:pPr>
      <w:r w:rsidRPr="001A61A6">
        <w:rPr>
          <w:rFonts w:ascii="Times New Roman" w:hAnsi="Times New Roman" w:cs="Times New Roman"/>
          <w:b/>
          <w:bCs/>
          <w:sz w:val="24"/>
          <w:szCs w:val="24"/>
        </w:rPr>
        <w:t>Conclusion</w:t>
      </w:r>
    </w:p>
    <w:p w14:paraId="11F4BAEE" w14:textId="77777777" w:rsidR="008A05D0" w:rsidRPr="001A61A6" w:rsidRDefault="008A05D0" w:rsidP="006162C0">
      <w:pPr>
        <w:pStyle w:val="ListParagraph"/>
        <w:spacing w:line="240" w:lineRule="auto"/>
        <w:ind w:left="390"/>
        <w:jc w:val="both"/>
        <w:rPr>
          <w:rFonts w:ascii="Times New Roman" w:hAnsi="Times New Roman" w:cs="Times New Roman"/>
          <w:sz w:val="24"/>
          <w:szCs w:val="24"/>
        </w:rPr>
      </w:pPr>
      <w:r w:rsidRPr="001A61A6">
        <w:rPr>
          <w:rFonts w:ascii="Times New Roman" w:hAnsi="Times New Roman" w:cs="Times New Roman"/>
          <w:sz w:val="24"/>
          <w:szCs w:val="24"/>
        </w:rPr>
        <w:t>Understand that the circumstances above are not comprehensive and this is reflected in the wording in section 20</w:t>
      </w:r>
      <w:r>
        <w:rPr>
          <w:rFonts w:ascii="Times New Roman" w:hAnsi="Times New Roman" w:cs="Times New Roman"/>
          <w:sz w:val="24"/>
          <w:szCs w:val="24"/>
        </w:rPr>
        <w:t>(</w:t>
      </w:r>
      <w:r w:rsidRPr="001A61A6">
        <w:rPr>
          <w:rFonts w:ascii="Times New Roman" w:hAnsi="Times New Roman" w:cs="Times New Roman"/>
          <w:sz w:val="24"/>
          <w:szCs w:val="24"/>
        </w:rPr>
        <w:t>7</w:t>
      </w:r>
      <w:r>
        <w:rPr>
          <w:rFonts w:ascii="Times New Roman" w:hAnsi="Times New Roman" w:cs="Times New Roman"/>
          <w:sz w:val="24"/>
          <w:szCs w:val="24"/>
        </w:rPr>
        <w:t>)</w:t>
      </w:r>
      <w:r w:rsidRPr="001A61A6">
        <w:rPr>
          <w:rFonts w:ascii="Times New Roman" w:hAnsi="Times New Roman" w:cs="Times New Roman"/>
          <w:sz w:val="24"/>
          <w:szCs w:val="24"/>
        </w:rPr>
        <w:t xml:space="preserve"> that affirms that the majority of the above circumstances are not generally indisputable. The way to deciding the right lease characterization will all rely upon whether the dangers and prizes of proprietorship have exchanged to the tenant or stay with the lessor at the initiation </w:t>
      </w:r>
      <w:r>
        <w:rPr>
          <w:rFonts w:ascii="Times New Roman" w:hAnsi="Times New Roman" w:cs="Times New Roman"/>
          <w:sz w:val="24"/>
          <w:szCs w:val="24"/>
        </w:rPr>
        <w:t>of the lease. Passage 20(</w:t>
      </w:r>
      <w:r w:rsidRPr="001A61A6">
        <w:rPr>
          <w:rFonts w:ascii="Times New Roman" w:hAnsi="Times New Roman" w:cs="Times New Roman"/>
          <w:sz w:val="24"/>
          <w:szCs w:val="24"/>
        </w:rPr>
        <w:t>8</w:t>
      </w:r>
      <w:r>
        <w:rPr>
          <w:rFonts w:ascii="Times New Roman" w:hAnsi="Times New Roman" w:cs="Times New Roman"/>
          <w:sz w:val="24"/>
          <w:szCs w:val="24"/>
        </w:rPr>
        <w:t>)</w:t>
      </w:r>
      <w:r w:rsidRPr="001A61A6">
        <w:rPr>
          <w:rFonts w:ascii="Times New Roman" w:hAnsi="Times New Roman" w:cs="Times New Roman"/>
          <w:sz w:val="24"/>
          <w:szCs w:val="24"/>
        </w:rPr>
        <w:t xml:space="preserve"> says that lease grouping is made at the commencement of the lease and the </w:t>
      </w:r>
      <w:r w:rsidRPr="00535BB8">
        <w:rPr>
          <w:rFonts w:ascii="Times New Roman" w:hAnsi="Times New Roman" w:cs="Times New Roman"/>
          <w:sz w:val="24"/>
          <w:szCs w:val="24"/>
          <w:highlight w:val="yellow"/>
        </w:rPr>
        <w:t>characterization isn't changed</w:t>
      </w:r>
      <w:r w:rsidRPr="001A61A6">
        <w:rPr>
          <w:rFonts w:ascii="Times New Roman" w:hAnsi="Times New Roman" w:cs="Times New Roman"/>
          <w:sz w:val="24"/>
          <w:szCs w:val="24"/>
        </w:rPr>
        <w:t xml:space="preserve"> </w:t>
      </w:r>
      <w:r w:rsidRPr="00535BB8">
        <w:rPr>
          <w:rFonts w:ascii="Times New Roman" w:hAnsi="Times New Roman" w:cs="Times New Roman"/>
          <w:sz w:val="24"/>
          <w:szCs w:val="24"/>
          <w:highlight w:val="yellow"/>
        </w:rPr>
        <w:t>amid the term</w:t>
      </w:r>
      <w:r w:rsidRPr="001A61A6">
        <w:rPr>
          <w:rFonts w:ascii="Times New Roman" w:hAnsi="Times New Roman" w:cs="Times New Roman"/>
          <w:sz w:val="24"/>
          <w:szCs w:val="24"/>
        </w:rPr>
        <w:t xml:space="preserve"> of the lease (i.e. from working to back or the other way around) unless the resident and the lessor consent to an adjustment in the arrangements of the lease (other than basically reestablishing the lease). Where such arrangements are changed, the lease grouping is then re-assessed.</w:t>
      </w:r>
    </w:p>
    <w:p w14:paraId="74B3ED50" w14:textId="77777777" w:rsidR="008A05D0" w:rsidRPr="001A61A6" w:rsidRDefault="008A05D0" w:rsidP="006162C0">
      <w:pPr>
        <w:spacing w:line="240" w:lineRule="auto"/>
        <w:jc w:val="both"/>
        <w:rPr>
          <w:rFonts w:ascii="Times New Roman" w:hAnsi="Times New Roman" w:cs="Times New Roman"/>
          <w:sz w:val="24"/>
          <w:szCs w:val="24"/>
        </w:rPr>
      </w:pPr>
      <w:r w:rsidRPr="001A61A6">
        <w:rPr>
          <w:rFonts w:ascii="Times New Roman" w:hAnsi="Times New Roman" w:cs="Times New Roman"/>
          <w:sz w:val="24"/>
          <w:szCs w:val="24"/>
        </w:rPr>
        <w:t>2. Provide the journal entries that Sable should recor</w:t>
      </w:r>
      <w:r w:rsidR="00BD28AE">
        <w:rPr>
          <w:rFonts w:ascii="Times New Roman" w:hAnsi="Times New Roman" w:cs="Times New Roman"/>
          <w:sz w:val="24"/>
          <w:szCs w:val="24"/>
        </w:rPr>
        <w:t xml:space="preserve">d to: </w:t>
      </w:r>
    </w:p>
    <w:p w14:paraId="35A40063" w14:textId="77777777" w:rsidR="008A05D0" w:rsidRPr="001A61A6" w:rsidRDefault="008A05D0" w:rsidP="006162C0">
      <w:pPr>
        <w:spacing w:line="240" w:lineRule="auto"/>
        <w:jc w:val="both"/>
        <w:rPr>
          <w:rFonts w:ascii="Times New Roman" w:hAnsi="Times New Roman" w:cs="Times New Roman"/>
          <w:b/>
          <w:bCs/>
          <w:sz w:val="24"/>
          <w:szCs w:val="24"/>
        </w:rPr>
      </w:pPr>
      <w:r w:rsidRPr="001A61A6">
        <w:rPr>
          <w:rFonts w:ascii="Times New Roman" w:hAnsi="Times New Roman" w:cs="Times New Roman"/>
          <w:b/>
          <w:bCs/>
          <w:sz w:val="24"/>
          <w:szCs w:val="24"/>
        </w:rPr>
        <w:t>a. Recording the Lease</w:t>
      </w:r>
    </w:p>
    <w:p w14:paraId="6FAFA636" w14:textId="77777777" w:rsidR="008A05D0" w:rsidRPr="001A61A6" w:rsidRDefault="008A05D0" w:rsidP="006162C0">
      <w:pPr>
        <w:spacing w:line="240" w:lineRule="auto"/>
        <w:jc w:val="both"/>
        <w:rPr>
          <w:rFonts w:ascii="Times New Roman" w:hAnsi="Times New Roman" w:cs="Times New Roman"/>
          <w:sz w:val="24"/>
          <w:szCs w:val="24"/>
        </w:rPr>
      </w:pPr>
      <w:r w:rsidRPr="001A61A6">
        <w:rPr>
          <w:rFonts w:ascii="Times New Roman" w:hAnsi="Times New Roman" w:cs="Times New Roman"/>
          <w:sz w:val="24"/>
          <w:szCs w:val="24"/>
        </w:rPr>
        <w:t>Once a lease has been resolved as a fund lease, on beginning acknowledgment Section 20 would require a resident to perceive its privileges of utilization of that asset as an asset at a sum proportional to the reasonable estimation of the leased asset or, if lower, the present estimation of the base lease installments which are resolved toward the beginning of the lease. Where a customer brings about costs that are specifically inferable in arranging and masterminding a lease, these expenses are added to the sum perceived as an asset.</w:t>
      </w:r>
    </w:p>
    <w:p w14:paraId="40885410" w14:textId="77777777" w:rsidR="008A05D0" w:rsidRPr="001A61A6" w:rsidRDefault="008A05D0" w:rsidP="006162C0">
      <w:pPr>
        <w:spacing w:line="240" w:lineRule="auto"/>
        <w:jc w:val="both"/>
        <w:rPr>
          <w:rFonts w:ascii="Times New Roman" w:hAnsi="Times New Roman" w:cs="Times New Roman"/>
          <w:sz w:val="24"/>
          <w:szCs w:val="24"/>
        </w:rPr>
      </w:pPr>
      <w:r w:rsidRPr="001A61A6">
        <w:rPr>
          <w:rFonts w:ascii="Times New Roman" w:hAnsi="Times New Roman" w:cs="Times New Roman"/>
          <w:sz w:val="24"/>
          <w:szCs w:val="24"/>
        </w:rPr>
        <w:t>Example</w:t>
      </w:r>
    </w:p>
    <w:p w14:paraId="490DB9C3" w14:textId="77777777" w:rsidR="008A05D0" w:rsidRPr="001A61A6" w:rsidRDefault="008A05D0" w:rsidP="006162C0">
      <w:pPr>
        <w:spacing w:line="240" w:lineRule="auto"/>
        <w:jc w:val="both"/>
        <w:rPr>
          <w:rFonts w:ascii="Times New Roman" w:hAnsi="Times New Roman" w:cs="Times New Roman"/>
          <w:sz w:val="24"/>
          <w:szCs w:val="24"/>
        </w:rPr>
      </w:pPr>
      <w:r w:rsidRPr="001A61A6">
        <w:rPr>
          <w:rFonts w:ascii="Times New Roman" w:hAnsi="Times New Roman" w:cs="Times New Roman"/>
          <w:sz w:val="24"/>
          <w:szCs w:val="24"/>
        </w:rPr>
        <w:t>Company A Ltd enters into a finance lease with Company B Ltd.  Company A is trying to work out whether the present value of the minimum lease payments at the commencement of the lease are higher or lower than the fair value of the leased asset but is unsure which rate to use to discount the minimum lease payments down to present day values.</w:t>
      </w:r>
    </w:p>
    <w:p w14:paraId="2E9C406A" w14:textId="77777777" w:rsidR="008A05D0" w:rsidRPr="001A61A6" w:rsidRDefault="008A05D0" w:rsidP="006162C0">
      <w:pPr>
        <w:spacing w:line="240" w:lineRule="auto"/>
        <w:jc w:val="both"/>
        <w:rPr>
          <w:rFonts w:ascii="Times New Roman" w:hAnsi="Times New Roman" w:cs="Times New Roman"/>
          <w:sz w:val="24"/>
          <w:szCs w:val="24"/>
        </w:rPr>
      </w:pPr>
      <w:r>
        <w:rPr>
          <w:rFonts w:ascii="Times New Roman" w:hAnsi="Times New Roman" w:cs="Times New Roman"/>
          <w:sz w:val="24"/>
          <w:szCs w:val="24"/>
        </w:rPr>
        <w:t>FRS 102 (20) (10) reveals t</w:t>
      </w:r>
      <w:r w:rsidRPr="001A61A6">
        <w:rPr>
          <w:rFonts w:ascii="Times New Roman" w:hAnsi="Times New Roman" w:cs="Times New Roman"/>
          <w:sz w:val="24"/>
          <w:szCs w:val="24"/>
        </w:rPr>
        <w:t>hat the present value of the minimum lease payments shall be calculated using the interest rate implicit in the lease.  If this cannot be determined, the lessee’s incremental borrowing rate will be used instead.</w:t>
      </w:r>
    </w:p>
    <w:p w14:paraId="3B5FDC6E" w14:textId="77777777" w:rsidR="008A05D0" w:rsidRPr="001A61A6" w:rsidRDefault="008A05D0" w:rsidP="006162C0">
      <w:pPr>
        <w:spacing w:line="240" w:lineRule="auto"/>
        <w:jc w:val="both"/>
        <w:rPr>
          <w:rFonts w:ascii="Times New Roman" w:hAnsi="Times New Roman" w:cs="Times New Roman"/>
          <w:sz w:val="24"/>
          <w:szCs w:val="24"/>
        </w:rPr>
      </w:pPr>
      <w:r w:rsidRPr="001A61A6">
        <w:rPr>
          <w:rFonts w:ascii="Times New Roman" w:hAnsi="Times New Roman" w:cs="Times New Roman"/>
          <w:sz w:val="24"/>
          <w:szCs w:val="24"/>
        </w:rPr>
        <w:t>After begin</w:t>
      </w:r>
      <w:r>
        <w:rPr>
          <w:rFonts w:ascii="Times New Roman" w:hAnsi="Times New Roman" w:cs="Times New Roman"/>
          <w:sz w:val="24"/>
          <w:szCs w:val="24"/>
        </w:rPr>
        <w:t>ning acknowledgment, passage 20</w:t>
      </w:r>
      <w:r>
        <w:rPr>
          <w:rFonts w:ascii="Times New Roman" w:hAnsi="Times New Roman" w:cs="Times New Roman"/>
          <w:sz w:val="24"/>
          <w:szCs w:val="24"/>
        </w:rPr>
        <w:br/>
        <w:t>(</w:t>
      </w:r>
      <w:r w:rsidRPr="001A61A6">
        <w:rPr>
          <w:rFonts w:ascii="Times New Roman" w:hAnsi="Times New Roman" w:cs="Times New Roman"/>
          <w:sz w:val="24"/>
          <w:szCs w:val="24"/>
        </w:rPr>
        <w:t>11</w:t>
      </w:r>
      <w:r>
        <w:rPr>
          <w:rFonts w:ascii="Times New Roman" w:hAnsi="Times New Roman" w:cs="Times New Roman"/>
          <w:sz w:val="24"/>
          <w:szCs w:val="24"/>
        </w:rPr>
        <w:t>)</w:t>
      </w:r>
      <w:r w:rsidRPr="001A61A6">
        <w:rPr>
          <w:rFonts w:ascii="Times New Roman" w:hAnsi="Times New Roman" w:cs="Times New Roman"/>
          <w:sz w:val="24"/>
          <w:szCs w:val="24"/>
        </w:rPr>
        <w:t xml:space="preserve"> to FRS </w:t>
      </w:r>
      <w:r>
        <w:rPr>
          <w:rFonts w:ascii="Times New Roman" w:hAnsi="Times New Roman" w:cs="Times New Roman"/>
          <w:sz w:val="24"/>
          <w:szCs w:val="24"/>
        </w:rPr>
        <w:br/>
        <w:t>(</w:t>
      </w:r>
      <w:r w:rsidRPr="001A61A6">
        <w:rPr>
          <w:rFonts w:ascii="Times New Roman" w:hAnsi="Times New Roman" w:cs="Times New Roman"/>
          <w:sz w:val="24"/>
          <w:szCs w:val="24"/>
        </w:rPr>
        <w:t>102</w:t>
      </w:r>
      <w:r>
        <w:rPr>
          <w:rFonts w:ascii="Times New Roman" w:hAnsi="Times New Roman" w:cs="Times New Roman"/>
          <w:sz w:val="24"/>
          <w:szCs w:val="24"/>
        </w:rPr>
        <w:t>)</w:t>
      </w:r>
      <w:r w:rsidRPr="001A61A6">
        <w:rPr>
          <w:rFonts w:ascii="Times New Roman" w:hAnsi="Times New Roman" w:cs="Times New Roman"/>
          <w:sz w:val="24"/>
          <w:szCs w:val="24"/>
        </w:rPr>
        <w:t xml:space="preserve"> requires a resident </w:t>
      </w:r>
      <w:r w:rsidRPr="00535BB8">
        <w:rPr>
          <w:rFonts w:ascii="Times New Roman" w:hAnsi="Times New Roman" w:cs="Times New Roman"/>
          <w:sz w:val="24"/>
          <w:szCs w:val="24"/>
          <w:highlight w:val="yellow"/>
        </w:rPr>
        <w:t>to part the</w:t>
      </w:r>
      <w:r w:rsidRPr="001A61A6">
        <w:rPr>
          <w:rFonts w:ascii="Times New Roman" w:hAnsi="Times New Roman" w:cs="Times New Roman"/>
          <w:sz w:val="24"/>
          <w:szCs w:val="24"/>
        </w:rPr>
        <w:t xml:space="preserve"> base lease installments between the capital component of the lease and the intrigue cost (as at present done in SSAP 21 and the FRSSE). </w:t>
      </w:r>
      <w:r w:rsidRPr="00535BB8">
        <w:rPr>
          <w:rFonts w:ascii="Times New Roman" w:hAnsi="Times New Roman" w:cs="Times New Roman"/>
          <w:sz w:val="24"/>
          <w:szCs w:val="24"/>
          <w:highlight w:val="yellow"/>
        </w:rPr>
        <w:t xml:space="preserve">Be that as it may, the </w:t>
      </w:r>
      <w:r w:rsidRPr="00535BB8">
        <w:rPr>
          <w:rFonts w:ascii="Times New Roman" w:hAnsi="Times New Roman" w:cs="Times New Roman"/>
          <w:sz w:val="24"/>
          <w:szCs w:val="24"/>
          <w:highlight w:val="yellow"/>
        </w:rPr>
        <w:lastRenderedPageBreak/>
        <w:t>lessening in the exceptional risk is ascertained utilizing the powerful intrigue technique'</w:t>
      </w:r>
      <w:r w:rsidRPr="001A61A6">
        <w:rPr>
          <w:rFonts w:ascii="Times New Roman" w:hAnsi="Times New Roman" w:cs="Times New Roman"/>
          <w:sz w:val="24"/>
          <w:szCs w:val="24"/>
        </w:rPr>
        <w:t xml:space="preserve">. The compelling interest strategy is a technique for ascertaining the amortized cost of either a monetary asset or a money related obligation (or a gathering of budgetary assets and liabilities) and in this way distributing the premium segment of the lease installments over the pertinent period. Under the viable intrigue technique: </w:t>
      </w:r>
    </w:p>
    <w:p w14:paraId="67982B18" w14:textId="77777777" w:rsidR="008A05D0" w:rsidRPr="001A61A6" w:rsidRDefault="008A05D0" w:rsidP="006162C0">
      <w:pPr>
        <w:spacing w:line="240" w:lineRule="auto"/>
        <w:jc w:val="both"/>
        <w:rPr>
          <w:rFonts w:ascii="Times New Roman" w:hAnsi="Times New Roman" w:cs="Times New Roman"/>
          <w:sz w:val="24"/>
          <w:szCs w:val="24"/>
        </w:rPr>
      </w:pPr>
      <w:r w:rsidRPr="001A61A6">
        <w:rPr>
          <w:rFonts w:ascii="Times New Roman" w:hAnsi="Times New Roman" w:cs="Times New Roman"/>
          <w:sz w:val="24"/>
          <w:szCs w:val="24"/>
        </w:rPr>
        <w:t xml:space="preserve">The amortized cost of the back lease obligation is the present estimation of future installments marked down at the successful loan fee; and </w:t>
      </w:r>
    </w:p>
    <w:p w14:paraId="53BA2E54" w14:textId="77777777" w:rsidR="008A05D0" w:rsidRPr="001A61A6" w:rsidRDefault="008A05D0" w:rsidP="006162C0">
      <w:pPr>
        <w:spacing w:line="240" w:lineRule="auto"/>
        <w:jc w:val="both"/>
        <w:rPr>
          <w:rFonts w:ascii="Times New Roman" w:hAnsi="Times New Roman" w:cs="Times New Roman"/>
          <w:sz w:val="24"/>
          <w:szCs w:val="24"/>
        </w:rPr>
      </w:pPr>
      <w:r w:rsidRPr="001A61A6">
        <w:rPr>
          <w:rFonts w:ascii="Times New Roman" w:hAnsi="Times New Roman" w:cs="Times New Roman"/>
          <w:sz w:val="24"/>
          <w:szCs w:val="24"/>
        </w:rPr>
        <w:t xml:space="preserve">The intrigue cost in a period is proportional to the conveying measure of the risk toward the start of a period increased by the powerful loan cost for the period. </w:t>
      </w:r>
    </w:p>
    <w:p w14:paraId="28903AF6" w14:textId="77777777" w:rsidR="008A05D0" w:rsidRPr="001A61A6" w:rsidRDefault="008A05D0" w:rsidP="006162C0">
      <w:pPr>
        <w:spacing w:line="240" w:lineRule="auto"/>
        <w:jc w:val="both"/>
        <w:rPr>
          <w:rFonts w:ascii="Times New Roman" w:hAnsi="Times New Roman" w:cs="Times New Roman"/>
          <w:b/>
          <w:bCs/>
          <w:sz w:val="24"/>
          <w:szCs w:val="24"/>
        </w:rPr>
      </w:pPr>
      <w:r w:rsidRPr="001A61A6">
        <w:rPr>
          <w:rFonts w:ascii="Times New Roman" w:hAnsi="Times New Roman" w:cs="Times New Roman"/>
          <w:b/>
          <w:bCs/>
          <w:sz w:val="24"/>
          <w:szCs w:val="24"/>
        </w:rPr>
        <w:t>b. Account for the first lease payment made to Sable at the end of year 1</w:t>
      </w:r>
    </w:p>
    <w:p w14:paraId="4032BF2B" w14:textId="77777777" w:rsidR="008A05D0" w:rsidRPr="001A61A6" w:rsidRDefault="008A05D0" w:rsidP="006162C0">
      <w:pPr>
        <w:spacing w:line="240" w:lineRule="auto"/>
        <w:jc w:val="both"/>
        <w:rPr>
          <w:rFonts w:ascii="Times New Roman" w:hAnsi="Times New Roman" w:cs="Times New Roman"/>
          <w:sz w:val="24"/>
          <w:szCs w:val="24"/>
        </w:rPr>
      </w:pPr>
      <w:r w:rsidRPr="001A61A6">
        <w:rPr>
          <w:rFonts w:ascii="Times New Roman" w:hAnsi="Times New Roman" w:cs="Times New Roman"/>
          <w:sz w:val="24"/>
          <w:szCs w:val="24"/>
        </w:rPr>
        <w:t>For the motivations behind this estimation, the compelling financing cost is the rate that precisely rebates the future installments through the normal existence of the lease. The compelling interest strategy will be talked about in more detail in a future article concerning money related instruments. Also, the resident must devalue the leased asset over the shorter of the lease term and its helpful monetary life and toward the finish of each detailing period evaluate whether an asset leased under a fund lease is impeded. There is no change to how we deterio</w:t>
      </w:r>
      <w:r>
        <w:rPr>
          <w:rFonts w:ascii="Times New Roman" w:hAnsi="Times New Roman" w:cs="Times New Roman"/>
          <w:sz w:val="24"/>
          <w:szCs w:val="24"/>
        </w:rPr>
        <w:t>rate such assets under SSAP (21).</w:t>
      </w:r>
    </w:p>
    <w:p w14:paraId="75DC9941" w14:textId="77777777" w:rsidR="008A05D0" w:rsidRPr="001A61A6" w:rsidRDefault="008A05D0" w:rsidP="006162C0">
      <w:pPr>
        <w:spacing w:line="240" w:lineRule="auto"/>
        <w:jc w:val="both"/>
        <w:rPr>
          <w:rFonts w:ascii="Times New Roman" w:hAnsi="Times New Roman" w:cs="Times New Roman"/>
          <w:sz w:val="24"/>
          <w:szCs w:val="24"/>
        </w:rPr>
      </w:pPr>
      <w:r w:rsidRPr="001A61A6">
        <w:rPr>
          <w:rFonts w:ascii="Times New Roman" w:hAnsi="Times New Roman" w:cs="Times New Roman"/>
          <w:sz w:val="24"/>
          <w:szCs w:val="24"/>
        </w:rPr>
        <w:t xml:space="preserve">These will basically take after an indistinguishable accounting treatment from SSAP 21 which is that the resident will perceive installments under working leases (barring costs for administrations, for example, protection and support) as a cost over the lease term on a straight-line premise, unless: </w:t>
      </w:r>
    </w:p>
    <w:p w14:paraId="2AF03B24" w14:textId="77777777" w:rsidR="008A05D0" w:rsidRDefault="008A05D0" w:rsidP="006162C0">
      <w:pPr>
        <w:spacing w:line="240" w:lineRule="auto"/>
        <w:jc w:val="both"/>
        <w:rPr>
          <w:rFonts w:ascii="Times New Roman" w:hAnsi="Times New Roman" w:cs="Times New Roman"/>
          <w:sz w:val="24"/>
          <w:szCs w:val="24"/>
        </w:rPr>
      </w:pPr>
      <w:r w:rsidRPr="001A61A6">
        <w:rPr>
          <w:rFonts w:ascii="Times New Roman" w:hAnsi="Times New Roman" w:cs="Times New Roman"/>
          <w:sz w:val="24"/>
          <w:szCs w:val="24"/>
        </w:rPr>
        <w:t>Another orderly premise is illustrative of the time example of the client's advantage, regardless of whether the installments are not on that premise; or The installments to the lessor are organized to increment in accordance with expected general swelling (in light of distributed lists or measurements) to make up for the less</w:t>
      </w:r>
      <w:r w:rsidR="00882D3F">
        <w:rPr>
          <w:rFonts w:ascii="Times New Roman" w:hAnsi="Times New Roman" w:cs="Times New Roman"/>
          <w:sz w:val="24"/>
          <w:szCs w:val="24"/>
        </w:rPr>
        <w:t xml:space="preserve"> or</w:t>
      </w:r>
      <w:r w:rsidRPr="001A61A6">
        <w:rPr>
          <w:rFonts w:ascii="Times New Roman" w:hAnsi="Times New Roman" w:cs="Times New Roman"/>
          <w:sz w:val="24"/>
          <w:szCs w:val="24"/>
        </w:rPr>
        <w:t xml:space="preserve"> normal inflationary cost increments. Be that as it may, if installments to the less</w:t>
      </w:r>
      <w:r w:rsidR="00882D3F">
        <w:rPr>
          <w:rFonts w:ascii="Times New Roman" w:hAnsi="Times New Roman" w:cs="Times New Roman"/>
          <w:sz w:val="24"/>
          <w:szCs w:val="24"/>
        </w:rPr>
        <w:t xml:space="preserve"> </w:t>
      </w:r>
      <w:r w:rsidRPr="001A61A6">
        <w:rPr>
          <w:rFonts w:ascii="Times New Roman" w:hAnsi="Times New Roman" w:cs="Times New Roman"/>
          <w:sz w:val="24"/>
          <w:szCs w:val="24"/>
        </w:rPr>
        <w:t xml:space="preserve">or change due to factors other than general expansion, at that point this condition isn't met. </w:t>
      </w:r>
    </w:p>
    <w:p w14:paraId="5D19968A" w14:textId="77777777" w:rsidR="008A05D0" w:rsidRPr="001A61A6" w:rsidRDefault="008A05D0" w:rsidP="006162C0">
      <w:pPr>
        <w:spacing w:line="240" w:lineRule="auto"/>
        <w:jc w:val="both"/>
        <w:rPr>
          <w:rFonts w:ascii="Times New Roman" w:hAnsi="Times New Roman" w:cs="Times New Roman"/>
          <w:b/>
          <w:bCs/>
          <w:sz w:val="24"/>
          <w:szCs w:val="24"/>
        </w:rPr>
      </w:pPr>
      <w:r w:rsidRPr="001A61A6">
        <w:rPr>
          <w:rFonts w:ascii="Times New Roman" w:hAnsi="Times New Roman" w:cs="Times New Roman"/>
          <w:b/>
          <w:bCs/>
          <w:sz w:val="24"/>
          <w:szCs w:val="24"/>
        </w:rPr>
        <w:t>Conclusion</w:t>
      </w:r>
    </w:p>
    <w:p w14:paraId="39B10A65" w14:textId="77777777" w:rsidR="008A05D0" w:rsidRPr="001A61A6" w:rsidRDefault="008A05D0" w:rsidP="006162C0">
      <w:pPr>
        <w:spacing w:line="240" w:lineRule="auto"/>
        <w:jc w:val="both"/>
        <w:rPr>
          <w:rFonts w:ascii="Times New Roman" w:hAnsi="Times New Roman" w:cs="Times New Roman"/>
          <w:sz w:val="24"/>
          <w:szCs w:val="24"/>
        </w:rPr>
      </w:pPr>
      <w:r w:rsidRPr="001A61A6">
        <w:rPr>
          <w:rFonts w:ascii="Times New Roman" w:hAnsi="Times New Roman" w:cs="Times New Roman"/>
          <w:sz w:val="24"/>
          <w:szCs w:val="24"/>
        </w:rPr>
        <w:t>In the event that a tenant gets a lease motivator, this is represented as a diminishment to the cost over the lease term on a straight-line premise, unless another efficient premise is illustrative of the time example of the tenant's advantage from the utilization of the leased asset.</w:t>
      </w:r>
      <w:bookmarkStart w:id="0" w:name="_GoBack"/>
      <w:bookmarkEnd w:id="0"/>
    </w:p>
    <w:p w14:paraId="57E88B7F" w14:textId="77777777" w:rsidR="008A05D0" w:rsidRDefault="008A05D0" w:rsidP="006162C0">
      <w:pPr>
        <w:spacing w:line="240" w:lineRule="auto"/>
        <w:jc w:val="both"/>
      </w:pPr>
    </w:p>
    <w:p w14:paraId="0F3C79EE" w14:textId="77777777" w:rsidR="008E01E3" w:rsidRDefault="008E01E3" w:rsidP="006162C0">
      <w:pPr>
        <w:spacing w:line="240" w:lineRule="auto"/>
        <w:jc w:val="both"/>
      </w:pPr>
    </w:p>
    <w:sectPr w:rsidR="008E01E3" w:rsidSect="003554DE">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9DE7B" w14:textId="77777777" w:rsidR="005A5E27" w:rsidRDefault="005A5E27">
      <w:pPr>
        <w:spacing w:after="0" w:line="240" w:lineRule="auto"/>
      </w:pPr>
      <w:r>
        <w:separator/>
      </w:r>
    </w:p>
  </w:endnote>
  <w:endnote w:type="continuationSeparator" w:id="0">
    <w:p w14:paraId="7B56EEA9" w14:textId="77777777" w:rsidR="005A5E27" w:rsidRDefault="005A5E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0421107"/>
      <w:docPartObj>
        <w:docPartGallery w:val="Page Numbers (Bottom of Page)"/>
        <w:docPartUnique/>
      </w:docPartObj>
    </w:sdtPr>
    <w:sdtEndPr>
      <w:rPr>
        <w:noProof/>
      </w:rPr>
    </w:sdtEndPr>
    <w:sdtContent>
      <w:p w14:paraId="2D57F8EE" w14:textId="4E42CD7C" w:rsidR="007B440E" w:rsidRDefault="00BD28AE">
        <w:pPr>
          <w:pStyle w:val="Footer"/>
          <w:jc w:val="center"/>
        </w:pPr>
        <w:r>
          <w:fldChar w:fldCharType="begin"/>
        </w:r>
        <w:r>
          <w:instrText xml:space="preserve"> PAGE   \* MERGEFORMAT </w:instrText>
        </w:r>
        <w:r>
          <w:fldChar w:fldCharType="separate"/>
        </w:r>
        <w:r w:rsidR="003A44E7">
          <w:rPr>
            <w:noProof/>
          </w:rPr>
          <w:t>1</w:t>
        </w:r>
        <w:r>
          <w:rPr>
            <w:noProof/>
          </w:rPr>
          <w:fldChar w:fldCharType="end"/>
        </w:r>
      </w:p>
    </w:sdtContent>
  </w:sdt>
  <w:p w14:paraId="22F59050" w14:textId="77777777" w:rsidR="007B440E" w:rsidRDefault="005A5E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AB196" w14:textId="77777777" w:rsidR="005A5E27" w:rsidRDefault="005A5E27">
      <w:pPr>
        <w:spacing w:after="0" w:line="240" w:lineRule="auto"/>
      </w:pPr>
      <w:r>
        <w:separator/>
      </w:r>
    </w:p>
  </w:footnote>
  <w:footnote w:type="continuationSeparator" w:id="0">
    <w:p w14:paraId="135F3D45" w14:textId="77777777" w:rsidR="005A5E27" w:rsidRDefault="005A5E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EE61D9"/>
    <w:multiLevelType w:val="hybridMultilevel"/>
    <w:tmpl w:val="5C64DDA6"/>
    <w:lvl w:ilvl="0" w:tplc="6654013A">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5D0"/>
    <w:rsid w:val="003A44E7"/>
    <w:rsid w:val="004066C5"/>
    <w:rsid w:val="005015D8"/>
    <w:rsid w:val="00535BB8"/>
    <w:rsid w:val="005968E9"/>
    <w:rsid w:val="005A5E27"/>
    <w:rsid w:val="006162C0"/>
    <w:rsid w:val="007F3DFA"/>
    <w:rsid w:val="0084262B"/>
    <w:rsid w:val="00882D3F"/>
    <w:rsid w:val="008A05D0"/>
    <w:rsid w:val="008E01E3"/>
    <w:rsid w:val="00A761EC"/>
    <w:rsid w:val="00BD28AE"/>
    <w:rsid w:val="00EC0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54986"/>
  <w15:docId w15:val="{F00D2928-0A40-4A10-96D4-051B10533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05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05D0"/>
    <w:pPr>
      <w:ind w:left="720"/>
      <w:contextualSpacing/>
    </w:pPr>
  </w:style>
  <w:style w:type="paragraph" w:styleId="Footer">
    <w:name w:val="footer"/>
    <w:basedOn w:val="Normal"/>
    <w:link w:val="FooterChar"/>
    <w:uiPriority w:val="99"/>
    <w:unhideWhenUsed/>
    <w:rsid w:val="008A05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05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1248</Words>
  <Characters>7118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HP-Printer</dc:creator>
  <cp:lastModifiedBy>Michael Gibson</cp:lastModifiedBy>
  <cp:revision>2</cp:revision>
  <dcterms:created xsi:type="dcterms:W3CDTF">2018-03-07T04:24:00Z</dcterms:created>
  <dcterms:modified xsi:type="dcterms:W3CDTF">2018-03-07T04:24:00Z</dcterms:modified>
</cp:coreProperties>
</file>